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1C43" w:rsidRDefault="00A67C43">
      <w:pPr>
        <w:tabs>
          <w:tab w:val="left" w:pos="567"/>
        </w:tabs>
        <w:spacing w:after="60"/>
        <w:jc w:val="both"/>
      </w:pPr>
      <w:r>
        <w:rPr>
          <w:b/>
          <w:bCs/>
        </w:rPr>
        <w:t>Табела 9.1.</w:t>
      </w:r>
      <w:r>
        <w:t xml:space="preserve"> Научне, уметничке и стручне квалификације наставника и задужења у настави</w:t>
      </w:r>
    </w:p>
    <w:tbl>
      <w:tblPr>
        <w:tblStyle w:val="a"/>
        <w:tblW w:w="1105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6"/>
        <w:gridCol w:w="1084"/>
        <w:gridCol w:w="36"/>
        <w:gridCol w:w="240"/>
        <w:gridCol w:w="940"/>
        <w:gridCol w:w="1002"/>
        <w:gridCol w:w="634"/>
        <w:gridCol w:w="606"/>
        <w:gridCol w:w="820"/>
        <w:gridCol w:w="143"/>
        <w:gridCol w:w="2814"/>
        <w:gridCol w:w="1117"/>
        <w:gridCol w:w="991"/>
      </w:tblGrid>
      <w:tr w:rsidR="00D71C43" w:rsidTr="00223789">
        <w:trPr>
          <w:trHeight w:val="55"/>
        </w:trPr>
        <w:tc>
          <w:tcPr>
            <w:tcW w:w="5168" w:type="dxa"/>
            <w:gridSpan w:val="8"/>
            <w:vAlign w:val="center"/>
          </w:tcPr>
          <w:p w:rsidR="00D71C43" w:rsidRDefault="00A67C43" w:rsidP="00223789">
            <w:pPr>
              <w:tabs>
                <w:tab w:val="left" w:pos="567"/>
              </w:tabs>
              <w:rPr>
                <w:b/>
                <w:bCs/>
                <w:sz w:val="18"/>
                <w:szCs w:val="18"/>
              </w:rPr>
            </w:pPr>
            <w:r>
              <w:rPr>
                <w:b/>
                <w:bCs/>
                <w:sz w:val="18"/>
                <w:szCs w:val="18"/>
              </w:rPr>
              <w:t xml:space="preserve">Име и презиме </w:t>
            </w:r>
          </w:p>
        </w:tc>
        <w:tc>
          <w:tcPr>
            <w:tcW w:w="5885" w:type="dxa"/>
            <w:gridSpan w:val="5"/>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Драгана Р. Јовановић</w:t>
            </w:r>
          </w:p>
        </w:tc>
      </w:tr>
      <w:tr w:rsidR="00D71C43" w:rsidTr="00223789">
        <w:trPr>
          <w:trHeight w:val="55"/>
        </w:trPr>
        <w:tc>
          <w:tcPr>
            <w:tcW w:w="5168" w:type="dxa"/>
            <w:gridSpan w:val="8"/>
            <w:vAlign w:val="center"/>
          </w:tcPr>
          <w:p w:rsidR="00D71C43" w:rsidRDefault="00A67C43" w:rsidP="00223789">
            <w:pPr>
              <w:tabs>
                <w:tab w:val="left" w:pos="567"/>
              </w:tabs>
              <w:rPr>
                <w:b/>
                <w:bCs/>
                <w:sz w:val="18"/>
                <w:szCs w:val="18"/>
              </w:rPr>
            </w:pPr>
            <w:r>
              <w:rPr>
                <w:b/>
                <w:bCs/>
                <w:sz w:val="18"/>
                <w:szCs w:val="18"/>
              </w:rPr>
              <w:t>Звање</w:t>
            </w:r>
          </w:p>
        </w:tc>
        <w:tc>
          <w:tcPr>
            <w:tcW w:w="5885" w:type="dxa"/>
            <w:gridSpan w:val="5"/>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Ванредни професор</w:t>
            </w:r>
          </w:p>
        </w:tc>
      </w:tr>
      <w:tr w:rsidR="00D71C43" w:rsidTr="00223789">
        <w:trPr>
          <w:trHeight w:val="55"/>
        </w:trPr>
        <w:tc>
          <w:tcPr>
            <w:tcW w:w="5168" w:type="dxa"/>
            <w:gridSpan w:val="8"/>
            <w:vAlign w:val="center"/>
          </w:tcPr>
          <w:p w:rsidR="00D71C43" w:rsidRDefault="00A67C43" w:rsidP="00223789">
            <w:pPr>
              <w:tabs>
                <w:tab w:val="left" w:pos="567"/>
              </w:tabs>
              <w:rPr>
                <w:b/>
                <w:bCs/>
                <w:sz w:val="18"/>
                <w:szCs w:val="18"/>
              </w:rPr>
            </w:pPr>
            <w:r>
              <w:rPr>
                <w:b/>
                <w:bCs/>
                <w:sz w:val="18"/>
                <w:szCs w:val="18"/>
              </w:rPr>
              <w:t>Назив институције у којој наставник ради са пуним или непуним радним временом и од када</w:t>
            </w:r>
          </w:p>
        </w:tc>
        <w:tc>
          <w:tcPr>
            <w:tcW w:w="5885" w:type="dxa"/>
            <w:gridSpan w:val="5"/>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Филозофски факултет у Нишу, од 2008. године</w:t>
            </w:r>
          </w:p>
        </w:tc>
      </w:tr>
      <w:tr w:rsidR="00D71C43" w:rsidTr="00223789">
        <w:trPr>
          <w:trHeight w:val="55"/>
        </w:trPr>
        <w:tc>
          <w:tcPr>
            <w:tcW w:w="5168" w:type="dxa"/>
            <w:gridSpan w:val="8"/>
            <w:vAlign w:val="center"/>
          </w:tcPr>
          <w:p w:rsidR="00D71C43" w:rsidRDefault="00A67C43" w:rsidP="00223789">
            <w:pPr>
              <w:tabs>
                <w:tab w:val="left" w:pos="567"/>
              </w:tabs>
              <w:rPr>
                <w:b/>
                <w:bCs/>
                <w:sz w:val="18"/>
                <w:szCs w:val="18"/>
              </w:rPr>
            </w:pPr>
            <w:r>
              <w:rPr>
                <w:b/>
                <w:bCs/>
                <w:sz w:val="18"/>
                <w:szCs w:val="18"/>
              </w:rPr>
              <w:t>Ужа научна односно уметничка област</w:t>
            </w:r>
          </w:p>
        </w:tc>
        <w:tc>
          <w:tcPr>
            <w:tcW w:w="5885" w:type="dxa"/>
            <w:gridSpan w:val="5"/>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r>
      <w:tr w:rsidR="00D71C43" w:rsidTr="00223789">
        <w:trPr>
          <w:trHeight w:val="55"/>
        </w:trPr>
        <w:tc>
          <w:tcPr>
            <w:tcW w:w="11053" w:type="dxa"/>
            <w:gridSpan w:val="13"/>
            <w:vAlign w:val="center"/>
          </w:tcPr>
          <w:p w:rsidR="00D71C43" w:rsidRDefault="00A67C43" w:rsidP="00223789">
            <w:pPr>
              <w:tabs>
                <w:tab w:val="left" w:pos="567"/>
              </w:tabs>
              <w:rPr>
                <w:b/>
                <w:bCs/>
                <w:sz w:val="18"/>
                <w:szCs w:val="18"/>
              </w:rPr>
            </w:pPr>
            <w:r>
              <w:rPr>
                <w:b/>
                <w:bCs/>
                <w:sz w:val="18"/>
                <w:szCs w:val="18"/>
              </w:rPr>
              <w:t>Академска каријера</w:t>
            </w:r>
          </w:p>
        </w:tc>
      </w:tr>
      <w:tr w:rsidR="00D71C43" w:rsidTr="00223789">
        <w:trPr>
          <w:trHeight w:val="55"/>
        </w:trPr>
        <w:tc>
          <w:tcPr>
            <w:tcW w:w="1986" w:type="dxa"/>
            <w:gridSpan w:val="4"/>
            <w:vAlign w:val="center"/>
          </w:tcPr>
          <w:p w:rsidR="00D71C43" w:rsidRDefault="00D71C43" w:rsidP="00223789">
            <w:pPr>
              <w:tabs>
                <w:tab w:val="left" w:pos="567"/>
              </w:tabs>
              <w:rPr>
                <w:sz w:val="18"/>
                <w:szCs w:val="18"/>
              </w:rPr>
            </w:pPr>
          </w:p>
        </w:tc>
        <w:tc>
          <w:tcPr>
            <w:tcW w:w="940" w:type="dxa"/>
            <w:vAlign w:val="center"/>
          </w:tcPr>
          <w:p w:rsidR="00D71C43" w:rsidRDefault="00A67C43" w:rsidP="00223789">
            <w:pPr>
              <w:tabs>
                <w:tab w:val="left" w:pos="567"/>
              </w:tabs>
              <w:rPr>
                <w:sz w:val="18"/>
                <w:szCs w:val="18"/>
              </w:rPr>
            </w:pPr>
            <w:r>
              <w:rPr>
                <w:sz w:val="18"/>
                <w:szCs w:val="18"/>
              </w:rPr>
              <w:t xml:space="preserve">Година </w:t>
            </w:r>
          </w:p>
        </w:tc>
        <w:tc>
          <w:tcPr>
            <w:tcW w:w="3062" w:type="dxa"/>
            <w:gridSpan w:val="4"/>
            <w:vAlign w:val="center"/>
          </w:tcPr>
          <w:p w:rsidR="00D71C43" w:rsidRDefault="00A67C43" w:rsidP="00223789">
            <w:pPr>
              <w:tabs>
                <w:tab w:val="left" w:pos="567"/>
              </w:tabs>
              <w:rPr>
                <w:sz w:val="18"/>
                <w:szCs w:val="18"/>
              </w:rPr>
            </w:pPr>
            <w:r>
              <w:rPr>
                <w:sz w:val="18"/>
                <w:szCs w:val="18"/>
              </w:rPr>
              <w:t xml:space="preserve">Институција </w:t>
            </w:r>
          </w:p>
        </w:tc>
        <w:tc>
          <w:tcPr>
            <w:tcW w:w="2957" w:type="dxa"/>
            <w:gridSpan w:val="2"/>
            <w:vAlign w:val="center"/>
          </w:tcPr>
          <w:p w:rsidR="00D71C43" w:rsidRDefault="00A67C43" w:rsidP="00223789">
            <w:pPr>
              <w:tabs>
                <w:tab w:val="left" w:pos="567"/>
              </w:tabs>
              <w:rPr>
                <w:sz w:val="18"/>
                <w:szCs w:val="18"/>
              </w:rPr>
            </w:pPr>
            <w:r>
              <w:rPr>
                <w:sz w:val="18"/>
                <w:szCs w:val="18"/>
              </w:rPr>
              <w:t xml:space="preserve">Научна област </w:t>
            </w:r>
          </w:p>
        </w:tc>
        <w:tc>
          <w:tcPr>
            <w:tcW w:w="2107" w:type="dxa"/>
            <w:gridSpan w:val="2"/>
            <w:vAlign w:val="center"/>
          </w:tcPr>
          <w:p w:rsidR="00D71C43" w:rsidRDefault="00A67C43" w:rsidP="00223789">
            <w:pPr>
              <w:tabs>
                <w:tab w:val="left" w:pos="567"/>
              </w:tabs>
              <w:rPr>
                <w:sz w:val="18"/>
                <w:szCs w:val="18"/>
              </w:rPr>
            </w:pPr>
            <w:r>
              <w:rPr>
                <w:sz w:val="18"/>
                <w:szCs w:val="18"/>
              </w:rPr>
              <w:t>Ужа научна област</w:t>
            </w:r>
          </w:p>
        </w:tc>
      </w:tr>
      <w:tr w:rsidR="00D71C43" w:rsidTr="00223789">
        <w:trPr>
          <w:trHeight w:val="55"/>
        </w:trPr>
        <w:tc>
          <w:tcPr>
            <w:tcW w:w="1986" w:type="dxa"/>
            <w:gridSpan w:val="4"/>
            <w:vAlign w:val="center"/>
          </w:tcPr>
          <w:p w:rsidR="00D71C43" w:rsidRDefault="00A67C43" w:rsidP="00223789">
            <w:pPr>
              <w:tabs>
                <w:tab w:val="left" w:pos="567"/>
              </w:tabs>
              <w:rPr>
                <w:sz w:val="18"/>
                <w:szCs w:val="18"/>
              </w:rPr>
            </w:pPr>
            <w:r>
              <w:rPr>
                <w:sz w:val="18"/>
                <w:szCs w:val="18"/>
              </w:rPr>
              <w:t>Избор у звање</w:t>
            </w:r>
          </w:p>
        </w:tc>
        <w:tc>
          <w:tcPr>
            <w:tcW w:w="940"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2023.</w:t>
            </w:r>
          </w:p>
        </w:tc>
        <w:tc>
          <w:tcPr>
            <w:tcW w:w="3062" w:type="dxa"/>
            <w:gridSpan w:val="4"/>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Филозофски факултет у Нишу</w:t>
            </w:r>
          </w:p>
        </w:tc>
        <w:tc>
          <w:tcPr>
            <w:tcW w:w="2957"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Педагошке и андрагошке науке</w:t>
            </w:r>
          </w:p>
        </w:tc>
        <w:tc>
          <w:tcPr>
            <w:tcW w:w="2107" w:type="dxa"/>
            <w:gridSpan w:val="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r>
      <w:tr w:rsidR="00D71C43" w:rsidTr="00223789">
        <w:trPr>
          <w:trHeight w:val="55"/>
        </w:trPr>
        <w:tc>
          <w:tcPr>
            <w:tcW w:w="1986" w:type="dxa"/>
            <w:gridSpan w:val="4"/>
            <w:vAlign w:val="center"/>
          </w:tcPr>
          <w:p w:rsidR="00D71C43" w:rsidRDefault="00A67C43" w:rsidP="00223789">
            <w:pPr>
              <w:tabs>
                <w:tab w:val="left" w:pos="567"/>
              </w:tabs>
              <w:rPr>
                <w:sz w:val="18"/>
                <w:szCs w:val="18"/>
              </w:rPr>
            </w:pPr>
            <w:r>
              <w:rPr>
                <w:sz w:val="18"/>
                <w:szCs w:val="18"/>
              </w:rPr>
              <w:t>Докторат</w:t>
            </w:r>
          </w:p>
        </w:tc>
        <w:tc>
          <w:tcPr>
            <w:tcW w:w="940"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2018.</w:t>
            </w:r>
          </w:p>
        </w:tc>
        <w:tc>
          <w:tcPr>
            <w:tcW w:w="3062" w:type="dxa"/>
            <w:gridSpan w:val="4"/>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Филозофски факултет у Београду</w:t>
            </w:r>
          </w:p>
        </w:tc>
        <w:tc>
          <w:tcPr>
            <w:tcW w:w="2957"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Педагошке и андрагошке науке</w:t>
            </w:r>
          </w:p>
        </w:tc>
        <w:tc>
          <w:tcPr>
            <w:tcW w:w="2107" w:type="dxa"/>
            <w:gridSpan w:val="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r>
      <w:tr w:rsidR="00D71C43" w:rsidTr="00223789">
        <w:trPr>
          <w:trHeight w:val="55"/>
        </w:trPr>
        <w:tc>
          <w:tcPr>
            <w:tcW w:w="1986" w:type="dxa"/>
            <w:gridSpan w:val="4"/>
            <w:vAlign w:val="center"/>
          </w:tcPr>
          <w:p w:rsidR="00D71C43" w:rsidRDefault="00A67C43" w:rsidP="00223789">
            <w:pPr>
              <w:tabs>
                <w:tab w:val="left" w:pos="567"/>
              </w:tabs>
              <w:rPr>
                <w:sz w:val="18"/>
                <w:szCs w:val="18"/>
              </w:rPr>
            </w:pPr>
            <w:r>
              <w:rPr>
                <w:sz w:val="18"/>
                <w:szCs w:val="18"/>
              </w:rPr>
              <w:t>Диплома</w:t>
            </w:r>
          </w:p>
        </w:tc>
        <w:tc>
          <w:tcPr>
            <w:tcW w:w="940"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2007.</w:t>
            </w:r>
          </w:p>
        </w:tc>
        <w:tc>
          <w:tcPr>
            <w:tcW w:w="3062" w:type="dxa"/>
            <w:gridSpan w:val="4"/>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Филозофски факултет у Нишу</w:t>
            </w:r>
          </w:p>
        </w:tc>
        <w:tc>
          <w:tcPr>
            <w:tcW w:w="2957"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Педагошке и андрагошке науке</w:t>
            </w:r>
          </w:p>
        </w:tc>
        <w:tc>
          <w:tcPr>
            <w:tcW w:w="2107" w:type="dxa"/>
            <w:gridSpan w:val="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r>
      <w:tr w:rsidR="00D71C43" w:rsidTr="00223789">
        <w:trPr>
          <w:trHeight w:val="95"/>
        </w:trPr>
        <w:tc>
          <w:tcPr>
            <w:tcW w:w="11053" w:type="dxa"/>
            <w:gridSpan w:val="13"/>
            <w:vAlign w:val="center"/>
          </w:tcPr>
          <w:p w:rsidR="00D71C43" w:rsidRDefault="00A67C43" w:rsidP="00223789">
            <w:pPr>
              <w:tabs>
                <w:tab w:val="left" w:pos="567"/>
              </w:tabs>
              <w:rPr>
                <w:b/>
                <w:bCs/>
                <w:sz w:val="18"/>
                <w:szCs w:val="18"/>
              </w:rPr>
            </w:pPr>
            <w:r>
              <w:rPr>
                <w:b/>
                <w:bCs/>
                <w:sz w:val="18"/>
                <w:szCs w:val="18"/>
              </w:rPr>
              <w:t>Списак предмета за које је наставник акредитован на првом или другом степену студија</w:t>
            </w:r>
          </w:p>
        </w:tc>
      </w:tr>
      <w:tr w:rsidR="00D71C43" w:rsidTr="00223789">
        <w:trPr>
          <w:trHeight w:val="155"/>
        </w:trPr>
        <w:tc>
          <w:tcPr>
            <w:tcW w:w="626" w:type="dxa"/>
            <w:vAlign w:val="center"/>
          </w:tcPr>
          <w:p w:rsidR="00D71C43" w:rsidRDefault="00A67C43" w:rsidP="00223789">
            <w:pPr>
              <w:tabs>
                <w:tab w:val="left" w:pos="567"/>
              </w:tabs>
              <w:rPr>
                <w:sz w:val="18"/>
                <w:szCs w:val="18"/>
              </w:rPr>
            </w:pPr>
            <w:r>
              <w:rPr>
                <w:sz w:val="18"/>
                <w:szCs w:val="18"/>
              </w:rPr>
              <w:t>Р.Б.</w:t>
            </w:r>
          </w:p>
        </w:tc>
        <w:tc>
          <w:tcPr>
            <w:tcW w:w="1084" w:type="dxa"/>
            <w:vAlign w:val="center"/>
          </w:tcPr>
          <w:p w:rsidR="00D71C43" w:rsidRDefault="00A67C43" w:rsidP="00223789">
            <w:pPr>
              <w:tabs>
                <w:tab w:val="left" w:pos="567"/>
              </w:tabs>
              <w:rPr>
                <w:sz w:val="18"/>
                <w:szCs w:val="18"/>
              </w:rPr>
            </w:pPr>
            <w:r>
              <w:rPr>
                <w:sz w:val="18"/>
                <w:szCs w:val="18"/>
              </w:rPr>
              <w:t>Ознака предмета</w:t>
            </w:r>
          </w:p>
        </w:tc>
        <w:tc>
          <w:tcPr>
            <w:tcW w:w="2852" w:type="dxa"/>
            <w:gridSpan w:val="5"/>
            <w:vAlign w:val="center"/>
          </w:tcPr>
          <w:p w:rsidR="00D71C43" w:rsidRDefault="00A67C43" w:rsidP="00223789">
            <w:pPr>
              <w:tabs>
                <w:tab w:val="left" w:pos="567"/>
              </w:tabs>
              <w:rPr>
                <w:sz w:val="18"/>
                <w:szCs w:val="18"/>
              </w:rPr>
            </w:pPr>
            <w:r>
              <w:rPr>
                <w:sz w:val="18"/>
                <w:szCs w:val="18"/>
              </w:rPr>
              <w:t>Назив предмета</w:t>
            </w:r>
          </w:p>
        </w:tc>
        <w:tc>
          <w:tcPr>
            <w:tcW w:w="1569" w:type="dxa"/>
            <w:gridSpan w:val="3"/>
            <w:vAlign w:val="center"/>
          </w:tcPr>
          <w:p w:rsidR="00D71C43" w:rsidRDefault="00A67C43" w:rsidP="00223789">
            <w:pPr>
              <w:tabs>
                <w:tab w:val="left" w:pos="567"/>
              </w:tabs>
              <w:rPr>
                <w:sz w:val="18"/>
                <w:szCs w:val="18"/>
              </w:rPr>
            </w:pPr>
            <w:r>
              <w:rPr>
                <w:sz w:val="18"/>
                <w:szCs w:val="18"/>
              </w:rPr>
              <w:t>Вид наставе</w:t>
            </w:r>
          </w:p>
        </w:tc>
        <w:tc>
          <w:tcPr>
            <w:tcW w:w="3931" w:type="dxa"/>
            <w:gridSpan w:val="2"/>
            <w:vAlign w:val="center"/>
          </w:tcPr>
          <w:p w:rsidR="00D71C43" w:rsidRDefault="00A67C43" w:rsidP="00223789">
            <w:pPr>
              <w:tabs>
                <w:tab w:val="left" w:pos="567"/>
              </w:tabs>
              <w:rPr>
                <w:sz w:val="18"/>
                <w:szCs w:val="18"/>
              </w:rPr>
            </w:pPr>
            <w:r>
              <w:rPr>
                <w:sz w:val="18"/>
                <w:szCs w:val="18"/>
              </w:rPr>
              <w:t xml:space="preserve">Назив студијског програма </w:t>
            </w:r>
          </w:p>
        </w:tc>
        <w:tc>
          <w:tcPr>
            <w:tcW w:w="988" w:type="dxa"/>
            <w:vAlign w:val="center"/>
          </w:tcPr>
          <w:p w:rsidR="00D71C43" w:rsidRDefault="00A67C43" w:rsidP="00223789">
            <w:pPr>
              <w:tabs>
                <w:tab w:val="left" w:pos="567"/>
              </w:tabs>
              <w:rPr>
                <w:sz w:val="18"/>
                <w:szCs w:val="18"/>
              </w:rPr>
            </w:pPr>
            <w:r>
              <w:rPr>
                <w:sz w:val="18"/>
                <w:szCs w:val="18"/>
              </w:rPr>
              <w:t xml:space="preserve">Врста студија </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bookmarkStart w:id="0" w:name="_GoBack" w:colFirst="5" w:colLast="5"/>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OPD038</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Андрагогија</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ОАС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ОPDN1</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 ( I, II семестар)</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Нематични департмани</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ОАС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OPD020</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Педеутологија</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 Англистика</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ОАС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OPD037</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Школски менаџмент</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 xml:space="preserve">Педагогија, Психологија, Aнглистика </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ОАС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OPD021</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Мултимедијални системи у образовању</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 Немачки језик и књижевност</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ОАС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PNI20</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Лидерство наставника</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 и вежбе</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Образовање наставника предметне наставе, Педагогија</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МАС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PNI12</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Вештине демократске комуникације у настави</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 и вежбе</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Образовање наставника предметне наставе, Педагогија, Психологија</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МАС</w:t>
            </w:r>
          </w:p>
        </w:tc>
      </w:tr>
      <w:tr w:rsidR="00D71C43" w:rsidTr="00223789">
        <w:trPr>
          <w:trHeight w:val="103"/>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MSRSP1</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Међугрупни конфликти</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вежбе</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 Психологија, Социологија, Социјална политика и социјални рад</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МАС</w:t>
            </w:r>
          </w:p>
        </w:tc>
      </w:tr>
      <w:tr w:rsidR="00D71C43" w:rsidTr="00223789">
        <w:trPr>
          <w:trHeight w:val="55"/>
        </w:trPr>
        <w:tc>
          <w:tcPr>
            <w:tcW w:w="626" w:type="dxa"/>
            <w:vAlign w:val="center"/>
          </w:tcPr>
          <w:p w:rsidR="00D71C43" w:rsidRDefault="00D71C43" w:rsidP="00223789">
            <w:pPr>
              <w:numPr>
                <w:ilvl w:val="0"/>
                <w:numId w:val="1"/>
              </w:numPr>
              <w:pBdr>
                <w:top w:val="nil"/>
                <w:left w:val="nil"/>
                <w:bottom w:val="nil"/>
                <w:right w:val="nil"/>
                <w:between w:val="nil"/>
              </w:pBdr>
              <w:tabs>
                <w:tab w:val="left" w:pos="567"/>
              </w:tabs>
              <w:ind w:left="360"/>
              <w:rPr>
                <w:color w:val="000000"/>
                <w:sz w:val="18"/>
                <w:szCs w:val="18"/>
              </w:rPr>
            </w:pPr>
          </w:p>
        </w:tc>
        <w:tc>
          <w:tcPr>
            <w:tcW w:w="1084" w:type="dxa"/>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MPD009</w:t>
            </w:r>
          </w:p>
        </w:tc>
        <w:tc>
          <w:tcPr>
            <w:tcW w:w="2852" w:type="dxa"/>
            <w:gridSpan w:val="5"/>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Диференцијална дидактика</w:t>
            </w:r>
          </w:p>
        </w:tc>
        <w:tc>
          <w:tcPr>
            <w:tcW w:w="1569" w:type="dxa"/>
            <w:gridSpan w:val="3"/>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предавања</w:t>
            </w:r>
          </w:p>
        </w:tc>
        <w:tc>
          <w:tcPr>
            <w:tcW w:w="3931" w:type="dxa"/>
            <w:gridSpan w:val="2"/>
            <w:tcBorders>
              <w:top w:val="single" w:sz="4" w:space="0" w:color="000000"/>
              <w:left w:val="single" w:sz="4" w:space="0" w:color="000000"/>
              <w:bottom w:val="single" w:sz="4" w:space="0" w:color="000000"/>
            </w:tcBorders>
            <w:vAlign w:val="center"/>
          </w:tcPr>
          <w:p w:rsidR="00D71C43" w:rsidRDefault="00A67C43" w:rsidP="00223789">
            <w:pPr>
              <w:tabs>
                <w:tab w:val="left" w:pos="567"/>
              </w:tabs>
              <w:rPr>
                <w:sz w:val="18"/>
                <w:szCs w:val="18"/>
              </w:rPr>
            </w:pPr>
            <w:r>
              <w:rPr>
                <w:sz w:val="18"/>
                <w:szCs w:val="18"/>
              </w:rPr>
              <w:t>Педагогија</w:t>
            </w:r>
          </w:p>
        </w:tc>
        <w:tc>
          <w:tcPr>
            <w:tcW w:w="988" w:type="dxa"/>
            <w:tcBorders>
              <w:top w:val="single" w:sz="4" w:space="0" w:color="000000"/>
              <w:left w:val="single" w:sz="4" w:space="0" w:color="000000"/>
              <w:bottom w:val="single" w:sz="4" w:space="0" w:color="000000"/>
              <w:right w:val="single" w:sz="4" w:space="0" w:color="000000"/>
            </w:tcBorders>
            <w:vAlign w:val="center"/>
          </w:tcPr>
          <w:p w:rsidR="00D71C43" w:rsidRDefault="00A67C43" w:rsidP="00422C80">
            <w:pPr>
              <w:tabs>
                <w:tab w:val="left" w:pos="567"/>
              </w:tabs>
              <w:jc w:val="center"/>
              <w:rPr>
                <w:sz w:val="18"/>
                <w:szCs w:val="18"/>
              </w:rPr>
            </w:pPr>
            <w:r>
              <w:rPr>
                <w:sz w:val="18"/>
                <w:szCs w:val="18"/>
              </w:rPr>
              <w:t>МАС</w:t>
            </w:r>
          </w:p>
        </w:tc>
      </w:tr>
      <w:bookmarkEnd w:id="0"/>
      <w:tr w:rsidR="00D71C43" w:rsidTr="00223789">
        <w:trPr>
          <w:trHeight w:val="86"/>
        </w:trPr>
        <w:tc>
          <w:tcPr>
            <w:tcW w:w="11053" w:type="dxa"/>
            <w:gridSpan w:val="13"/>
            <w:vAlign w:val="center"/>
          </w:tcPr>
          <w:p w:rsidR="00D71C43" w:rsidRDefault="00A67C43" w:rsidP="00223789">
            <w:pPr>
              <w:tabs>
                <w:tab w:val="left" w:pos="567"/>
              </w:tabs>
              <w:rPr>
                <w:b/>
                <w:bCs/>
                <w:sz w:val="18"/>
                <w:szCs w:val="18"/>
              </w:rPr>
            </w:pPr>
            <w:r>
              <w:rPr>
                <w:b/>
                <w:bCs/>
                <w:sz w:val="18"/>
                <w:szCs w:val="18"/>
              </w:rPr>
              <w:t>Репрезентативне референце (минимално 5 не више од 10)</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color w:val="000000"/>
                <w:sz w:val="18"/>
                <w:szCs w:val="18"/>
              </w:rPr>
              <w:t xml:space="preserve">Todorovic, D. &amp; </w:t>
            </w:r>
            <w:r>
              <w:rPr>
                <w:b/>
                <w:bCs/>
                <w:color w:val="000000"/>
                <w:sz w:val="18"/>
                <w:szCs w:val="18"/>
              </w:rPr>
              <w:t>Jovanovic, D.</w:t>
            </w:r>
            <w:r>
              <w:rPr>
                <w:color w:val="000000"/>
                <w:sz w:val="18"/>
                <w:szCs w:val="18"/>
              </w:rPr>
              <w:t xml:space="preserve"> (2025). Teacher's organizational citizenship behavior in the context of personality traits, well-being and employment uncertainty,</w:t>
            </w:r>
            <w:r>
              <w:rPr>
                <w:i/>
                <w:iCs/>
                <w:color w:val="000000"/>
                <w:sz w:val="18"/>
                <w:szCs w:val="18"/>
              </w:rPr>
              <w:t>Work</w:t>
            </w:r>
            <w:r>
              <w:rPr>
                <w:color w:val="000000"/>
                <w:sz w:val="18"/>
                <w:szCs w:val="18"/>
              </w:rPr>
              <w:t xml:space="preserve">., 80(4):1769-1781 </w:t>
            </w:r>
            <w:r>
              <w:rPr>
                <w:b/>
                <w:bCs/>
                <w:color w:val="000000"/>
                <w:sz w:val="18"/>
                <w:szCs w:val="18"/>
              </w:rPr>
              <w:t>(M23)</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highlight w:val="white"/>
              </w:rPr>
              <w:t>Јовановић, Д.</w:t>
            </w:r>
            <w:r>
              <w:rPr>
                <w:color w:val="000000"/>
                <w:sz w:val="18"/>
                <w:szCs w:val="18"/>
                <w:highlight w:val="white"/>
              </w:rPr>
              <w:t xml:space="preserve">, Јовановић, М. (2025). Одрасли ученици као дигитални усељеници. Бањалучки новембарски сусрети 2024. </w:t>
            </w:r>
            <w:r>
              <w:rPr>
                <w:i/>
                <w:iCs/>
                <w:color w:val="000000"/>
                <w:sz w:val="18"/>
                <w:szCs w:val="18"/>
                <w:highlight w:val="white"/>
              </w:rPr>
              <w:t>Зборник радова са научног скупа</w:t>
            </w:r>
            <w:r>
              <w:rPr>
                <w:color w:val="000000"/>
                <w:sz w:val="18"/>
                <w:szCs w:val="18"/>
                <w:highlight w:val="white"/>
              </w:rPr>
              <w:t xml:space="preserve"> (књига 25). 207-229. (M33)</w:t>
            </w:r>
          </w:p>
        </w:tc>
      </w:tr>
      <w:tr w:rsidR="00D71C43" w:rsidTr="00223789">
        <w:trPr>
          <w:trHeight w:val="55"/>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 xml:space="preserve">Jovanovic, D., </w:t>
            </w:r>
            <w:r>
              <w:rPr>
                <w:color w:val="000000"/>
                <w:sz w:val="18"/>
                <w:szCs w:val="18"/>
              </w:rPr>
              <w:t>Simić, M. (2025).</w:t>
            </w:r>
            <w:r>
              <w:rPr>
                <w:b/>
                <w:bCs/>
                <w:color w:val="000000"/>
                <w:sz w:val="18"/>
                <w:szCs w:val="18"/>
              </w:rPr>
              <w:t xml:space="preserve"> </w:t>
            </w:r>
            <w:r>
              <w:rPr>
                <w:color w:val="000000"/>
                <w:sz w:val="18"/>
                <w:szCs w:val="18"/>
                <w:highlight w:val="white"/>
              </w:rPr>
              <w:t xml:space="preserve">Kvalitet obrazovanja i obrazovna efektivnost - teorijske nedoumice i razgraničenja, Univerzitetska misao, 24, str. 43-59.  </w:t>
            </w:r>
            <w:r>
              <w:rPr>
                <w:b/>
                <w:bCs/>
                <w:color w:val="000000"/>
                <w:sz w:val="18"/>
                <w:szCs w:val="18"/>
                <w:highlight w:val="white"/>
              </w:rPr>
              <w:t>(M51)</w:t>
            </w:r>
          </w:p>
        </w:tc>
      </w:tr>
      <w:tr w:rsidR="00D71C43" w:rsidTr="00223789">
        <w:trPr>
          <w:trHeight w:val="55"/>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 xml:space="preserve">Јовановић, Д., </w:t>
            </w:r>
            <w:r>
              <w:rPr>
                <w:color w:val="000000"/>
                <w:sz w:val="18"/>
                <w:szCs w:val="18"/>
              </w:rPr>
              <w:t xml:space="preserve">Јовановић, М. (2025). Педагошки профил наставника музике, Узданица, XXII/2, str. 211-227. </w:t>
            </w:r>
            <w:r>
              <w:rPr>
                <w:b/>
                <w:bCs/>
                <w:color w:val="000000"/>
                <w:sz w:val="18"/>
                <w:szCs w:val="18"/>
                <w:highlight w:val="white"/>
              </w:rPr>
              <w:t>(M51)</w:t>
            </w:r>
          </w:p>
        </w:tc>
      </w:tr>
      <w:tr w:rsidR="00D71C43" w:rsidTr="00223789">
        <w:trPr>
          <w:trHeight w:val="55"/>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Jovanović, D.</w:t>
            </w:r>
            <w:r>
              <w:rPr>
                <w:color w:val="000000"/>
                <w:sz w:val="18"/>
                <w:szCs w:val="18"/>
              </w:rPr>
              <w:t xml:space="preserve"> (2022). </w:t>
            </w:r>
            <w:r>
              <w:rPr>
                <w:i/>
                <w:iCs/>
                <w:color w:val="000000"/>
                <w:sz w:val="18"/>
                <w:szCs w:val="18"/>
              </w:rPr>
              <w:t>Teorijske osnove liderstva u obrazovanju</w:t>
            </w:r>
            <w:r>
              <w:rPr>
                <w:color w:val="000000"/>
                <w:sz w:val="18"/>
                <w:szCs w:val="18"/>
              </w:rPr>
              <w:t xml:space="preserve">. Niš: Filozofski fakultet. </w:t>
            </w:r>
            <w:r>
              <w:rPr>
                <w:b/>
                <w:bCs/>
                <w:color w:val="000000"/>
                <w:sz w:val="18"/>
                <w:szCs w:val="18"/>
              </w:rPr>
              <w:t>(M42)</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 xml:space="preserve">Jovanović, D. </w:t>
            </w:r>
            <w:r>
              <w:rPr>
                <w:color w:val="000000"/>
                <w:sz w:val="18"/>
                <w:szCs w:val="18"/>
              </w:rPr>
              <w:t xml:space="preserve">(2023). Quality management in higher education institutions: from proclaimed to real developmental state, </w:t>
            </w:r>
            <w:r>
              <w:rPr>
                <w:i/>
                <w:iCs/>
                <w:color w:val="000000"/>
                <w:sz w:val="18"/>
                <w:szCs w:val="18"/>
              </w:rPr>
              <w:t>Facta Universitatis, Series: Teaching, Learning and Teacher Education,</w:t>
            </w:r>
            <w:r>
              <w:rPr>
                <w:color w:val="000000"/>
                <w:sz w:val="18"/>
                <w:szCs w:val="18"/>
              </w:rPr>
              <w:t xml:space="preserve"> Vol. 7, No1, Special Issue: </w:t>
            </w:r>
            <w:r>
              <w:rPr>
                <w:i/>
                <w:iCs/>
                <w:color w:val="000000"/>
                <w:sz w:val="18"/>
                <w:szCs w:val="18"/>
              </w:rPr>
              <w:t>Management in Education – Contemporary Approaches and Perspectives</w:t>
            </w:r>
            <w:r>
              <w:rPr>
                <w:color w:val="000000"/>
                <w:sz w:val="18"/>
                <w:szCs w:val="18"/>
              </w:rPr>
              <w:t xml:space="preserve">, pp. 19 – 32. </w:t>
            </w:r>
            <w:r>
              <w:rPr>
                <w:b/>
                <w:bCs/>
                <w:color w:val="000000"/>
                <w:sz w:val="18"/>
                <w:szCs w:val="18"/>
              </w:rPr>
              <w:t>(M31)</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Jovanovic, D.</w:t>
            </w:r>
            <w:r>
              <w:rPr>
                <w:color w:val="000000"/>
                <w:sz w:val="18"/>
                <w:szCs w:val="18"/>
              </w:rPr>
              <w:t xml:space="preserve"> &amp; Jovanovic, J. (2022). Understanding teacher leadership style in the light of some sociological paradigms, Facta Universitatis, Series: Philosophy, Sociology, Psychology and History, Vol. 31, No 3, pp 135-148. </w:t>
            </w:r>
            <w:r>
              <w:rPr>
                <w:b/>
                <w:bCs/>
                <w:color w:val="000000"/>
                <w:sz w:val="18"/>
                <w:szCs w:val="18"/>
              </w:rPr>
              <w:t>(M52)</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color w:val="000000"/>
                <w:sz w:val="18"/>
                <w:szCs w:val="18"/>
              </w:rPr>
              <w:t xml:space="preserve">Minic, V., Jovanovic, M &amp; </w:t>
            </w:r>
            <w:r>
              <w:rPr>
                <w:b/>
                <w:bCs/>
                <w:color w:val="000000"/>
                <w:sz w:val="18"/>
                <w:szCs w:val="18"/>
              </w:rPr>
              <w:t>Jovanovic, D.</w:t>
            </w:r>
            <w:r>
              <w:rPr>
                <w:color w:val="000000"/>
                <w:sz w:val="18"/>
                <w:szCs w:val="18"/>
              </w:rPr>
              <w:t xml:space="preserve"> (2020). Physical and Health Education in the Modern Primary School. </w:t>
            </w:r>
            <w:r>
              <w:rPr>
                <w:i/>
                <w:iCs/>
                <w:color w:val="000000"/>
                <w:sz w:val="18"/>
                <w:szCs w:val="18"/>
              </w:rPr>
              <w:t>Facta Universitatis - Series: Physical Sport and Education</w:t>
            </w:r>
            <w:r>
              <w:rPr>
                <w:color w:val="000000"/>
                <w:sz w:val="18"/>
                <w:szCs w:val="18"/>
              </w:rPr>
              <w:t>, Vol. 18, No 20, pp 323-334. </w:t>
            </w:r>
            <w:hyperlink r:id="rId8">
              <w:r>
                <w:rPr>
                  <w:color w:val="0000FF"/>
                  <w:sz w:val="18"/>
                  <w:szCs w:val="18"/>
                  <w:u w:val="single"/>
                </w:rPr>
                <w:t>https://doi.org/10.22190/FUPES200114030M</w:t>
              </w:r>
            </w:hyperlink>
            <w:r>
              <w:rPr>
                <w:color w:val="000000"/>
                <w:sz w:val="18"/>
                <w:szCs w:val="18"/>
              </w:rPr>
              <w:t>  (</w:t>
            </w:r>
            <w:r>
              <w:rPr>
                <w:b/>
                <w:bCs/>
                <w:color w:val="000000"/>
                <w:sz w:val="18"/>
                <w:szCs w:val="18"/>
              </w:rPr>
              <w:t>M24</w:t>
            </w:r>
            <w:r>
              <w:rPr>
                <w:color w:val="000000"/>
                <w:sz w:val="18"/>
                <w:szCs w:val="18"/>
              </w:rPr>
              <w:t>)</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b/>
                <w:bCs/>
                <w:color w:val="000000"/>
                <w:sz w:val="18"/>
                <w:szCs w:val="18"/>
              </w:rPr>
              <w:t>Jovanović, D.</w:t>
            </w:r>
            <w:r>
              <w:rPr>
                <w:color w:val="000000"/>
                <w:sz w:val="18"/>
                <w:szCs w:val="18"/>
              </w:rPr>
              <w:t xml:space="preserve"> &amp; M. Ćirić (2016). Benefits of transformational leadership in the context of education, </w:t>
            </w:r>
            <w:r>
              <w:rPr>
                <w:i/>
                <w:iCs/>
                <w:color w:val="000000"/>
                <w:sz w:val="18"/>
                <w:szCs w:val="18"/>
              </w:rPr>
              <w:t>The European Proceedings of Social and Behavioral Sciences</w:t>
            </w:r>
            <w:r>
              <w:rPr>
                <w:color w:val="000000"/>
                <w:sz w:val="18"/>
                <w:szCs w:val="18"/>
              </w:rPr>
              <w:t xml:space="preserve"> (EpSbBS), Vol. 16, pp. 496-503. ISSN 2357-1330  (</w:t>
            </w:r>
            <w:r>
              <w:rPr>
                <w:b/>
                <w:bCs/>
                <w:color w:val="000000"/>
                <w:sz w:val="18"/>
                <w:szCs w:val="18"/>
              </w:rPr>
              <w:t>M14</w:t>
            </w:r>
            <w:r>
              <w:rPr>
                <w:color w:val="000000"/>
                <w:sz w:val="18"/>
                <w:szCs w:val="18"/>
              </w:rPr>
              <w:t>)</w:t>
            </w:r>
          </w:p>
        </w:tc>
      </w:tr>
      <w:tr w:rsidR="00D71C43" w:rsidTr="00223789">
        <w:trPr>
          <w:trHeight w:val="407"/>
        </w:trPr>
        <w:tc>
          <w:tcPr>
            <w:tcW w:w="626" w:type="dxa"/>
            <w:vAlign w:val="center"/>
          </w:tcPr>
          <w:p w:rsidR="00D71C43" w:rsidRDefault="00D71C43" w:rsidP="00223789">
            <w:pPr>
              <w:widowControl/>
              <w:numPr>
                <w:ilvl w:val="0"/>
                <w:numId w:val="2"/>
              </w:numPr>
              <w:tabs>
                <w:tab w:val="left" w:pos="567"/>
              </w:tabs>
              <w:ind w:left="360"/>
              <w:rPr>
                <w:sz w:val="18"/>
                <w:szCs w:val="18"/>
              </w:rPr>
            </w:pPr>
          </w:p>
        </w:tc>
        <w:tc>
          <w:tcPr>
            <w:tcW w:w="10427" w:type="dxa"/>
            <w:gridSpan w:val="12"/>
            <w:tcBorders>
              <w:top w:val="single" w:sz="4" w:space="0" w:color="000000"/>
              <w:left w:val="single" w:sz="4" w:space="0" w:color="000000"/>
              <w:bottom w:val="single" w:sz="4" w:space="0" w:color="000000"/>
              <w:right w:val="single" w:sz="4" w:space="0" w:color="000000"/>
            </w:tcBorders>
            <w:vAlign w:val="center"/>
          </w:tcPr>
          <w:p w:rsidR="00D71C43" w:rsidRDefault="00A67C43" w:rsidP="00223789">
            <w:pPr>
              <w:tabs>
                <w:tab w:val="left" w:pos="567"/>
              </w:tabs>
              <w:jc w:val="both"/>
              <w:rPr>
                <w:sz w:val="18"/>
                <w:szCs w:val="18"/>
              </w:rPr>
            </w:pPr>
            <w:r>
              <w:rPr>
                <w:color w:val="000000"/>
                <w:sz w:val="18"/>
                <w:szCs w:val="18"/>
              </w:rPr>
              <w:t xml:space="preserve">Ćirić. M. &amp; </w:t>
            </w:r>
            <w:r>
              <w:rPr>
                <w:b/>
                <w:bCs/>
                <w:color w:val="000000"/>
                <w:sz w:val="18"/>
                <w:szCs w:val="18"/>
              </w:rPr>
              <w:t>D. Jovanović</w:t>
            </w:r>
            <w:r>
              <w:rPr>
                <w:color w:val="000000"/>
                <w:sz w:val="18"/>
                <w:szCs w:val="18"/>
              </w:rPr>
              <w:t xml:space="preserve"> (2016). Student engagement as a multidimensional concept, </w:t>
            </w:r>
            <w:r>
              <w:rPr>
                <w:i/>
                <w:iCs/>
                <w:color w:val="000000"/>
                <w:sz w:val="18"/>
                <w:szCs w:val="18"/>
              </w:rPr>
              <w:t>The European Proceedings of Social and Behavioral Sciences</w:t>
            </w:r>
            <w:r>
              <w:rPr>
                <w:color w:val="000000"/>
                <w:sz w:val="18"/>
                <w:szCs w:val="18"/>
              </w:rPr>
              <w:t xml:space="preserve"> (EpSbBS), Vol. 16, pp. 184-197. ISSN 2357-1330 (</w:t>
            </w:r>
            <w:r>
              <w:rPr>
                <w:b/>
                <w:bCs/>
                <w:color w:val="000000"/>
                <w:sz w:val="18"/>
                <w:szCs w:val="18"/>
              </w:rPr>
              <w:t>M14)</w:t>
            </w:r>
          </w:p>
        </w:tc>
      </w:tr>
      <w:tr w:rsidR="00D71C43" w:rsidTr="00223789">
        <w:trPr>
          <w:trHeight w:val="55"/>
        </w:trPr>
        <w:tc>
          <w:tcPr>
            <w:tcW w:w="11053" w:type="dxa"/>
            <w:gridSpan w:val="13"/>
            <w:vAlign w:val="center"/>
          </w:tcPr>
          <w:p w:rsidR="00D71C43" w:rsidRDefault="00A67C43" w:rsidP="00223789">
            <w:pPr>
              <w:tabs>
                <w:tab w:val="left" w:pos="567"/>
              </w:tabs>
              <w:rPr>
                <w:b/>
                <w:bCs/>
                <w:sz w:val="18"/>
                <w:szCs w:val="18"/>
              </w:rPr>
            </w:pPr>
            <w:r>
              <w:rPr>
                <w:b/>
                <w:bCs/>
                <w:sz w:val="18"/>
                <w:szCs w:val="18"/>
              </w:rPr>
              <w:t xml:space="preserve">Збирни подаци научне, односно уметничке и стручне активности наставника </w:t>
            </w:r>
          </w:p>
        </w:tc>
      </w:tr>
      <w:tr w:rsidR="00D71C43" w:rsidTr="00223789">
        <w:trPr>
          <w:trHeight w:val="55"/>
        </w:trPr>
        <w:tc>
          <w:tcPr>
            <w:tcW w:w="3928" w:type="dxa"/>
            <w:gridSpan w:val="6"/>
            <w:vAlign w:val="center"/>
          </w:tcPr>
          <w:p w:rsidR="00D71C43" w:rsidRDefault="00A67C43" w:rsidP="00223789">
            <w:pPr>
              <w:tabs>
                <w:tab w:val="left" w:pos="567"/>
              </w:tabs>
              <w:rPr>
                <w:sz w:val="18"/>
                <w:szCs w:val="18"/>
              </w:rPr>
            </w:pPr>
            <w:r>
              <w:rPr>
                <w:sz w:val="18"/>
                <w:szCs w:val="18"/>
              </w:rPr>
              <w:t>Укупан број цитата</w:t>
            </w:r>
          </w:p>
        </w:tc>
        <w:tc>
          <w:tcPr>
            <w:tcW w:w="7125" w:type="dxa"/>
            <w:gridSpan w:val="7"/>
            <w:vAlign w:val="center"/>
          </w:tcPr>
          <w:p w:rsidR="00D71C43" w:rsidRDefault="00A67C43" w:rsidP="00223789">
            <w:pPr>
              <w:tabs>
                <w:tab w:val="left" w:pos="567"/>
              </w:tabs>
              <w:rPr>
                <w:sz w:val="18"/>
                <w:szCs w:val="18"/>
              </w:rPr>
            </w:pPr>
            <w:bookmarkStart w:id="1" w:name="_heading=h.dhigw6d1nn6e" w:colFirst="0" w:colLast="0"/>
            <w:bookmarkEnd w:id="1"/>
            <w:r>
              <w:rPr>
                <w:sz w:val="18"/>
                <w:szCs w:val="18"/>
              </w:rPr>
              <w:t xml:space="preserve">431 </w:t>
            </w:r>
            <w:hyperlink r:id="rId9">
              <w:r>
                <w:rPr>
                  <w:color w:val="0000FF"/>
                  <w:sz w:val="18"/>
                  <w:szCs w:val="18"/>
                  <w:u w:val="single"/>
                </w:rPr>
                <w:t>https://www.researchgate.net/profile/Dragana_Jovanovic6</w:t>
              </w:r>
            </w:hyperlink>
            <w:r>
              <w:rPr>
                <w:sz w:val="18"/>
                <w:szCs w:val="18"/>
              </w:rPr>
              <w:t xml:space="preserve"> </w:t>
            </w:r>
          </w:p>
          <w:p w:rsidR="00D71C43" w:rsidRDefault="00A67C43" w:rsidP="00223789">
            <w:pPr>
              <w:tabs>
                <w:tab w:val="left" w:pos="567"/>
              </w:tabs>
              <w:rPr>
                <w:sz w:val="18"/>
                <w:szCs w:val="18"/>
              </w:rPr>
            </w:pPr>
            <w:r>
              <w:rPr>
                <w:sz w:val="18"/>
                <w:szCs w:val="18"/>
              </w:rPr>
              <w:t xml:space="preserve">771 </w:t>
            </w:r>
            <w:hyperlink r:id="rId10">
              <w:r>
                <w:rPr>
                  <w:color w:val="0000FF"/>
                  <w:sz w:val="18"/>
                  <w:szCs w:val="18"/>
                  <w:u w:val="single"/>
                </w:rPr>
                <w:t>https://scholar.google.com/citations?user=nsaipXUAAAAJ&amp;hl=en</w:t>
              </w:r>
            </w:hyperlink>
          </w:p>
        </w:tc>
      </w:tr>
      <w:tr w:rsidR="00D71C43" w:rsidTr="00223789">
        <w:trPr>
          <w:trHeight w:val="103"/>
        </w:trPr>
        <w:tc>
          <w:tcPr>
            <w:tcW w:w="3928" w:type="dxa"/>
            <w:gridSpan w:val="6"/>
            <w:vAlign w:val="center"/>
          </w:tcPr>
          <w:p w:rsidR="00D71C43" w:rsidRDefault="00A67C43" w:rsidP="00223789">
            <w:pPr>
              <w:tabs>
                <w:tab w:val="left" w:pos="567"/>
              </w:tabs>
              <w:spacing w:line="276" w:lineRule="auto"/>
              <w:rPr>
                <w:sz w:val="18"/>
                <w:szCs w:val="18"/>
              </w:rPr>
            </w:pPr>
            <w:r>
              <w:rPr>
                <w:sz w:val="18"/>
                <w:szCs w:val="18"/>
              </w:rPr>
              <w:t>Укупан број радова са SCI (SSCI) листе</w:t>
            </w:r>
          </w:p>
        </w:tc>
        <w:tc>
          <w:tcPr>
            <w:tcW w:w="7125" w:type="dxa"/>
            <w:gridSpan w:val="7"/>
            <w:vAlign w:val="center"/>
          </w:tcPr>
          <w:p w:rsidR="00D71C43" w:rsidRDefault="00A67C43" w:rsidP="00223789">
            <w:pPr>
              <w:tabs>
                <w:tab w:val="left" w:pos="567"/>
              </w:tabs>
              <w:spacing w:line="276" w:lineRule="auto"/>
              <w:rPr>
                <w:sz w:val="18"/>
                <w:szCs w:val="18"/>
              </w:rPr>
            </w:pPr>
            <w:r>
              <w:rPr>
                <w:sz w:val="18"/>
                <w:szCs w:val="18"/>
              </w:rPr>
              <w:t>2</w:t>
            </w:r>
          </w:p>
        </w:tc>
      </w:tr>
      <w:tr w:rsidR="00D71C43" w:rsidTr="00223789">
        <w:trPr>
          <w:trHeight w:val="269"/>
        </w:trPr>
        <w:tc>
          <w:tcPr>
            <w:tcW w:w="1746" w:type="dxa"/>
            <w:gridSpan w:val="3"/>
            <w:vAlign w:val="center"/>
          </w:tcPr>
          <w:p w:rsidR="00D71C43" w:rsidRDefault="00A67C43" w:rsidP="00223789">
            <w:pPr>
              <w:tabs>
                <w:tab w:val="left" w:pos="567"/>
              </w:tabs>
              <w:spacing w:line="276" w:lineRule="auto"/>
              <w:rPr>
                <w:sz w:val="18"/>
                <w:szCs w:val="18"/>
              </w:rPr>
            </w:pPr>
            <w:r>
              <w:rPr>
                <w:sz w:val="18"/>
                <w:szCs w:val="18"/>
              </w:rPr>
              <w:t>Тренутно учешће на пројектима</w:t>
            </w:r>
          </w:p>
        </w:tc>
        <w:tc>
          <w:tcPr>
            <w:tcW w:w="9307" w:type="dxa"/>
            <w:gridSpan w:val="10"/>
            <w:vAlign w:val="center"/>
          </w:tcPr>
          <w:p w:rsidR="00D71C43" w:rsidRDefault="00A67C43" w:rsidP="00223789">
            <w:pPr>
              <w:tabs>
                <w:tab w:val="left" w:pos="567"/>
              </w:tabs>
              <w:jc w:val="both"/>
              <w:rPr>
                <w:sz w:val="18"/>
                <w:szCs w:val="18"/>
              </w:rPr>
            </w:pPr>
            <w:r>
              <w:rPr>
                <w:sz w:val="18"/>
                <w:szCs w:val="18"/>
              </w:rPr>
              <w:t>„</w:t>
            </w:r>
            <w:r>
              <w:rPr>
                <w:i/>
                <w:iCs/>
                <w:sz w:val="18"/>
                <w:szCs w:val="18"/>
              </w:rPr>
              <w:t>Наука, образовање педагога и тржиште рада у сусрет 55. годишњици рада Филозофског факултета Универзитета у Нишу</w:t>
            </w:r>
            <w:r>
              <w:rPr>
                <w:sz w:val="18"/>
                <w:szCs w:val="18"/>
              </w:rPr>
              <w:t>“ (2026. година, бр. 373/1-12-01, Филозофски факултет, Ниш).</w:t>
            </w:r>
          </w:p>
        </w:tc>
      </w:tr>
      <w:tr w:rsidR="00D71C43" w:rsidTr="00223789">
        <w:trPr>
          <w:trHeight w:val="223"/>
        </w:trPr>
        <w:tc>
          <w:tcPr>
            <w:tcW w:w="1746" w:type="dxa"/>
            <w:gridSpan w:val="3"/>
            <w:vAlign w:val="center"/>
          </w:tcPr>
          <w:p w:rsidR="00D71C43" w:rsidRDefault="00A67C43" w:rsidP="00223789">
            <w:pPr>
              <w:tabs>
                <w:tab w:val="left" w:pos="567"/>
              </w:tabs>
              <w:jc w:val="both"/>
              <w:rPr>
                <w:sz w:val="18"/>
                <w:szCs w:val="18"/>
              </w:rPr>
            </w:pPr>
            <w:r>
              <w:rPr>
                <w:sz w:val="18"/>
                <w:szCs w:val="18"/>
              </w:rPr>
              <w:t xml:space="preserve">Усавршавања </w:t>
            </w:r>
          </w:p>
        </w:tc>
        <w:tc>
          <w:tcPr>
            <w:tcW w:w="9307" w:type="dxa"/>
            <w:gridSpan w:val="10"/>
            <w:vAlign w:val="center"/>
          </w:tcPr>
          <w:p w:rsidR="00D71C43" w:rsidRDefault="00A67C43" w:rsidP="00223789">
            <w:pPr>
              <w:tabs>
                <w:tab w:val="left" w:pos="567"/>
              </w:tabs>
              <w:jc w:val="both"/>
              <w:rPr>
                <w:sz w:val="18"/>
                <w:szCs w:val="18"/>
              </w:rPr>
            </w:pPr>
            <w:r>
              <w:rPr>
                <w:sz w:val="18"/>
                <w:szCs w:val="18"/>
              </w:rPr>
              <w:t xml:space="preserve">Обука у оквиру пројекта ЕУ и Норвешке владе „Preparing future teachers in the Western Balkan for Educating for Democracy and Human Rights“,  </w:t>
            </w:r>
            <w:r>
              <w:rPr>
                <w:color w:val="000000"/>
                <w:sz w:val="18"/>
                <w:szCs w:val="18"/>
              </w:rPr>
              <w:t xml:space="preserve">EDEN European Distance and Learning Network webinar (EDEN): </w:t>
            </w:r>
            <w:r>
              <w:rPr>
                <w:i/>
                <w:iCs/>
                <w:color w:val="000000"/>
                <w:sz w:val="18"/>
                <w:szCs w:val="18"/>
              </w:rPr>
              <w:t>How to engage and supports students online</w:t>
            </w:r>
            <w:r>
              <w:rPr>
                <w:sz w:val="18"/>
                <w:szCs w:val="18"/>
              </w:rPr>
              <w:t xml:space="preserve">;  Обука за држање наставе на енглеском језику: </w:t>
            </w:r>
            <w:r>
              <w:rPr>
                <w:i/>
                <w:iCs/>
                <w:sz w:val="18"/>
                <w:szCs w:val="18"/>
              </w:rPr>
              <w:t>English as a Medium of Instruction</w:t>
            </w:r>
            <w:r>
              <w:rPr>
                <w:sz w:val="18"/>
                <w:szCs w:val="18"/>
              </w:rPr>
              <w:t xml:space="preserve"> </w:t>
            </w:r>
            <w:r>
              <w:rPr>
                <w:i/>
                <w:iCs/>
                <w:sz w:val="18"/>
                <w:szCs w:val="18"/>
              </w:rPr>
              <w:t>(EMI)</w:t>
            </w:r>
            <w:r>
              <w:rPr>
                <w:sz w:val="18"/>
                <w:szCs w:val="18"/>
              </w:rPr>
              <w:t>, carried out by the Foundation Tempus in Serbia and in cooperation with the University in Belgrade, University of Kragujevac and University of Niš and supported by the Embassy of the United States of America (USA) in Serbia.</w:t>
            </w:r>
          </w:p>
        </w:tc>
      </w:tr>
      <w:tr w:rsidR="00D71C43" w:rsidTr="00223789">
        <w:trPr>
          <w:trHeight w:val="499"/>
        </w:trPr>
        <w:tc>
          <w:tcPr>
            <w:tcW w:w="11053" w:type="dxa"/>
            <w:gridSpan w:val="13"/>
            <w:vAlign w:val="center"/>
          </w:tcPr>
          <w:p w:rsidR="00D71C43" w:rsidRDefault="00A67C43" w:rsidP="00223789">
            <w:pPr>
              <w:widowControl/>
              <w:tabs>
                <w:tab w:val="left" w:pos="34"/>
              </w:tabs>
              <w:ind w:left="34"/>
              <w:jc w:val="both"/>
              <w:rPr>
                <w:color w:val="000000"/>
                <w:sz w:val="18"/>
                <w:szCs w:val="18"/>
              </w:rPr>
            </w:pPr>
            <w:r>
              <w:rPr>
                <w:sz w:val="18"/>
                <w:szCs w:val="18"/>
              </w:rPr>
              <w:t>Други подаци које сматрате релевантним: Реце</w:t>
            </w:r>
            <w:r>
              <w:rPr>
                <w:color w:val="000000"/>
                <w:sz w:val="18"/>
                <w:szCs w:val="18"/>
              </w:rPr>
              <w:t xml:space="preserve">нзент на листи НАТ-а, </w:t>
            </w:r>
            <w:r>
              <w:rPr>
                <w:sz w:val="18"/>
                <w:szCs w:val="18"/>
              </w:rPr>
              <w:t>Агенције за акредитацију високошколских установа Републике Српске; Експерт  на листи  академског особља Агенције за контролу и обезбјеђење квалитета високог образовања Црне Горе.</w:t>
            </w:r>
          </w:p>
        </w:tc>
      </w:tr>
    </w:tbl>
    <w:p w:rsidR="00D71C43" w:rsidRDefault="00D71C43">
      <w:pPr>
        <w:tabs>
          <w:tab w:val="left" w:pos="567"/>
        </w:tabs>
        <w:spacing w:after="60"/>
        <w:jc w:val="both"/>
        <w:rPr>
          <w:sz w:val="18"/>
          <w:szCs w:val="18"/>
        </w:rPr>
      </w:pPr>
    </w:p>
    <w:sectPr w:rsidR="00D71C43">
      <w:headerReference w:type="even" r:id="rId11"/>
      <w:headerReference w:type="default" r:id="rId12"/>
      <w:footerReference w:type="even" r:id="rId13"/>
      <w:footerReference w:type="default" r:id="rId14"/>
      <w:headerReference w:type="first" r:id="rId15"/>
      <w:footerReference w:type="first" r:id="rId16"/>
      <w:pgSz w:w="11907" w:h="16840"/>
      <w:pgMar w:top="1843" w:right="567" w:bottom="851" w:left="426" w:header="113" w:footer="17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0425" w:rsidRDefault="005F0425">
      <w:r>
        <w:separator/>
      </w:r>
    </w:p>
  </w:endnote>
  <w:endnote w:type="continuationSeparator" w:id="0">
    <w:p w:rsidR="005F0425" w:rsidRDefault="005F04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auto"/>
    <w:pitch w:val="default"/>
  </w:font>
  <w:font w:name="Georgia">
    <w:panose1 w:val="02040502050405020303"/>
    <w:charset w:val="00"/>
    <w:family w:val="auto"/>
    <w:pitch w:val="default"/>
    <w:embedItalic r:id="rId1" w:fontKey="{BD32666C-50CA-4F4A-B1E3-2109E713CFEA}"/>
  </w:font>
  <w:font w:name="Calibri">
    <w:panose1 w:val="020F0502020204030204"/>
    <w:charset w:val="00"/>
    <w:family w:val="swiss"/>
    <w:pitch w:val="variable"/>
    <w:sig w:usb0="E4002EFF" w:usb1="C000247B" w:usb2="00000009" w:usb3="00000000" w:csb0="000001FF" w:csb1="00000000"/>
    <w:embedRegular r:id="rId2" w:fontKey="{1621254E-7F98-4394-9F3F-32B1D480CD36}"/>
  </w:font>
  <w:font w:name="Cambria">
    <w:panose1 w:val="02040503050406030204"/>
    <w:charset w:val="00"/>
    <w:family w:val="roman"/>
    <w:pitch w:val="variable"/>
    <w:sig w:usb0="E00006FF" w:usb1="420024FF" w:usb2="02000000" w:usb3="00000000" w:csb0="0000019F" w:csb1="00000000"/>
    <w:embedRegular r:id="rId3" w:fontKey="{BA24A517-7A05-47AD-87F2-3657813D11E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D71C43">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A67C43">
    <w:pPr>
      <w:pBdr>
        <w:top w:val="nil"/>
        <w:left w:val="nil"/>
        <w:bottom w:val="nil"/>
        <w:right w:val="nil"/>
        <w:between w:val="nil"/>
      </w:pBdr>
      <w:tabs>
        <w:tab w:val="center" w:pos="4320"/>
        <w:tab w:val="right" w:pos="8640"/>
      </w:tabs>
      <w:jc w:val="center"/>
      <w:rPr>
        <w:color w:val="000000"/>
      </w:rPr>
    </w:pPr>
    <w:r>
      <w:rPr>
        <w:color w:val="000000"/>
      </w:rPr>
      <w:t>www.filfak.ni.ac.rs</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D71C4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0425" w:rsidRDefault="005F0425">
      <w:r>
        <w:separator/>
      </w:r>
    </w:p>
  </w:footnote>
  <w:footnote w:type="continuationSeparator" w:id="0">
    <w:p w:rsidR="005F0425" w:rsidRDefault="005F04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D71C4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A67C43">
    <w:pPr>
      <w:pBdr>
        <w:top w:val="nil"/>
        <w:left w:val="nil"/>
        <w:bottom w:val="nil"/>
        <w:right w:val="nil"/>
        <w:between w:val="nil"/>
      </w:pBdr>
      <w:tabs>
        <w:tab w:val="center" w:pos="4320"/>
        <w:tab w:val="right" w:pos="8640"/>
      </w:tabs>
      <w:rPr>
        <w:color w:val="000000"/>
        <w:sz w:val="6"/>
        <w:szCs w:val="6"/>
      </w:rPr>
    </w:pPr>
    <w:r>
      <w:rPr>
        <w:color w:val="000000"/>
        <w:sz w:val="6"/>
        <w:szCs w:val="6"/>
      </w:rPr>
      <w:t xml:space="preserve">         </w:t>
    </w:r>
  </w:p>
  <w:tbl>
    <w:tblPr>
      <w:tblStyle w:val="a0"/>
      <w:tblW w:w="108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4"/>
      <w:gridCol w:w="7560"/>
      <w:gridCol w:w="1668"/>
    </w:tblGrid>
    <w:tr w:rsidR="00D71C43">
      <w:trPr>
        <w:trHeight w:val="367"/>
        <w:jc w:val="center"/>
      </w:trPr>
      <w:tc>
        <w:tcPr>
          <w:tcW w:w="1634" w:type="dxa"/>
          <w:vMerge w:val="restart"/>
          <w:vAlign w:val="center"/>
        </w:tcPr>
        <w:p w:rsidR="00D71C43" w:rsidRDefault="00A67C43">
          <w:pPr>
            <w:pBdr>
              <w:top w:val="nil"/>
              <w:left w:val="nil"/>
              <w:bottom w:val="nil"/>
              <w:right w:val="nil"/>
              <w:between w:val="nil"/>
            </w:pBdr>
            <w:tabs>
              <w:tab w:val="center" w:pos="4320"/>
              <w:tab w:val="right" w:pos="8640"/>
            </w:tabs>
            <w:jc w:val="center"/>
            <w:rPr>
              <w:color w:val="000000"/>
            </w:rPr>
          </w:pPr>
          <w:r>
            <w:rPr>
              <w:noProof/>
              <w:color w:val="000000"/>
              <w:lang w:val="en-US"/>
            </w:rPr>
            <w:drawing>
              <wp:inline distT="0" distB="0" distL="0" distR="0">
                <wp:extent cx="899795" cy="89979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9795" cy="899795"/>
                        </a:xfrm>
                        <a:prstGeom prst="rect">
                          <a:avLst/>
                        </a:prstGeom>
                        <a:ln/>
                      </pic:spPr>
                    </pic:pic>
                  </a:graphicData>
                </a:graphic>
              </wp:inline>
            </w:drawing>
          </w:r>
        </w:p>
      </w:tc>
      <w:tc>
        <w:tcPr>
          <w:tcW w:w="7560" w:type="dxa"/>
          <w:shd w:val="clear" w:color="auto" w:fill="FFFFFF"/>
          <w:vAlign w:val="center"/>
        </w:tcPr>
        <w:p w:rsidR="00D71C43" w:rsidRDefault="00A67C43">
          <w:pPr>
            <w:pBdr>
              <w:top w:val="nil"/>
              <w:left w:val="nil"/>
              <w:bottom w:val="nil"/>
              <w:right w:val="nil"/>
              <w:between w:val="nil"/>
            </w:pBdr>
            <w:tabs>
              <w:tab w:val="center" w:pos="4320"/>
              <w:tab w:val="right" w:pos="8640"/>
            </w:tabs>
            <w:jc w:val="center"/>
            <w:rPr>
              <w:b/>
              <w:bCs/>
              <w:color w:val="333399"/>
              <w:sz w:val="24"/>
              <w:szCs w:val="24"/>
            </w:rPr>
          </w:pPr>
          <w:r>
            <w:rPr>
              <w:b/>
              <w:bCs/>
              <w:color w:val="333399"/>
              <w:sz w:val="24"/>
              <w:szCs w:val="24"/>
            </w:rPr>
            <w:t>Универзитет у Нишу</w:t>
          </w:r>
        </w:p>
        <w:p w:rsidR="00D71C43" w:rsidRDefault="00A67C43">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Филозофски факултет</w:t>
          </w:r>
        </w:p>
      </w:tc>
      <w:tc>
        <w:tcPr>
          <w:tcW w:w="1668" w:type="dxa"/>
          <w:vMerge w:val="restart"/>
          <w:vAlign w:val="center"/>
        </w:tcPr>
        <w:p w:rsidR="00D71C43" w:rsidRDefault="00A67C43">
          <w:pPr>
            <w:pBdr>
              <w:top w:val="nil"/>
              <w:left w:val="nil"/>
              <w:bottom w:val="nil"/>
              <w:right w:val="nil"/>
              <w:between w:val="nil"/>
            </w:pBdr>
            <w:tabs>
              <w:tab w:val="center" w:pos="4320"/>
              <w:tab w:val="right" w:pos="8640"/>
            </w:tabs>
            <w:jc w:val="center"/>
            <w:rPr>
              <w:color w:val="000000"/>
            </w:rPr>
          </w:pPr>
          <w:r>
            <w:rPr>
              <w:noProof/>
              <w:color w:val="000000"/>
              <w:lang w:val="en-US"/>
            </w:rPr>
            <w:drawing>
              <wp:inline distT="0" distB="0" distL="0" distR="0">
                <wp:extent cx="922020" cy="92202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22020" cy="922020"/>
                        </a:xfrm>
                        <a:prstGeom prst="rect">
                          <a:avLst/>
                        </a:prstGeom>
                        <a:ln/>
                      </pic:spPr>
                    </pic:pic>
                  </a:graphicData>
                </a:graphic>
              </wp:inline>
            </w:drawing>
          </w:r>
        </w:p>
      </w:tc>
    </w:tr>
    <w:tr w:rsidR="00D71C43">
      <w:trPr>
        <w:trHeight w:val="467"/>
        <w:jc w:val="center"/>
      </w:trPr>
      <w:tc>
        <w:tcPr>
          <w:tcW w:w="1634" w:type="dxa"/>
          <w:vMerge/>
          <w:vAlign w:val="center"/>
        </w:tcPr>
        <w:p w:rsidR="00D71C43" w:rsidRDefault="00D71C43">
          <w:pPr>
            <w:pBdr>
              <w:top w:val="nil"/>
              <w:left w:val="nil"/>
              <w:bottom w:val="nil"/>
              <w:right w:val="nil"/>
              <w:between w:val="nil"/>
            </w:pBdr>
            <w:spacing w:line="276" w:lineRule="auto"/>
            <w:rPr>
              <w:color w:val="000000"/>
            </w:rPr>
          </w:pPr>
        </w:p>
      </w:tc>
      <w:tc>
        <w:tcPr>
          <w:tcW w:w="7560" w:type="dxa"/>
          <w:shd w:val="clear" w:color="auto" w:fill="E6E6E6"/>
          <w:vAlign w:val="center"/>
        </w:tcPr>
        <w:p w:rsidR="00D71C43" w:rsidRDefault="00A67C43">
          <w:pPr>
            <w:pBdr>
              <w:top w:val="nil"/>
              <w:left w:val="nil"/>
              <w:bottom w:val="nil"/>
              <w:right w:val="nil"/>
              <w:between w:val="nil"/>
            </w:pBdr>
            <w:tabs>
              <w:tab w:val="center" w:pos="4320"/>
              <w:tab w:val="right" w:pos="8640"/>
            </w:tabs>
            <w:jc w:val="center"/>
            <w:rPr>
              <w:b/>
              <w:bCs/>
              <w:color w:val="333399"/>
              <w:sz w:val="24"/>
              <w:szCs w:val="24"/>
            </w:rPr>
          </w:pPr>
          <w:r>
            <w:rPr>
              <w:b/>
              <w:bCs/>
              <w:color w:val="333399"/>
              <w:sz w:val="24"/>
              <w:szCs w:val="24"/>
            </w:rPr>
            <w:t>Акредитација студијског програма</w:t>
          </w:r>
        </w:p>
      </w:tc>
      <w:tc>
        <w:tcPr>
          <w:tcW w:w="1668" w:type="dxa"/>
          <w:vMerge/>
          <w:vAlign w:val="center"/>
        </w:tcPr>
        <w:p w:rsidR="00D71C43" w:rsidRDefault="00D71C43">
          <w:pPr>
            <w:pBdr>
              <w:top w:val="nil"/>
              <w:left w:val="nil"/>
              <w:bottom w:val="nil"/>
              <w:right w:val="nil"/>
              <w:between w:val="nil"/>
            </w:pBdr>
            <w:spacing w:line="276" w:lineRule="auto"/>
            <w:rPr>
              <w:b/>
              <w:bCs/>
              <w:color w:val="333399"/>
              <w:sz w:val="24"/>
              <w:szCs w:val="24"/>
            </w:rPr>
          </w:pPr>
        </w:p>
      </w:tc>
    </w:tr>
    <w:tr w:rsidR="00D71C43">
      <w:trPr>
        <w:trHeight w:val="449"/>
        <w:jc w:val="center"/>
      </w:trPr>
      <w:tc>
        <w:tcPr>
          <w:tcW w:w="1634" w:type="dxa"/>
          <w:vMerge/>
          <w:vAlign w:val="center"/>
        </w:tcPr>
        <w:p w:rsidR="00D71C43" w:rsidRDefault="00D71C43">
          <w:pPr>
            <w:pBdr>
              <w:top w:val="nil"/>
              <w:left w:val="nil"/>
              <w:bottom w:val="nil"/>
              <w:right w:val="nil"/>
              <w:between w:val="nil"/>
            </w:pBdr>
            <w:spacing w:line="276" w:lineRule="auto"/>
            <w:rPr>
              <w:b/>
              <w:bCs/>
              <w:color w:val="333399"/>
              <w:sz w:val="24"/>
              <w:szCs w:val="24"/>
            </w:rPr>
          </w:pPr>
        </w:p>
      </w:tc>
      <w:tc>
        <w:tcPr>
          <w:tcW w:w="7560" w:type="dxa"/>
          <w:shd w:val="clear" w:color="auto" w:fill="FFFFFF"/>
          <w:vAlign w:val="center"/>
        </w:tcPr>
        <w:p w:rsidR="00D71C43" w:rsidRDefault="00A67C43">
          <w:pPr>
            <w:pBdr>
              <w:top w:val="nil"/>
              <w:left w:val="nil"/>
              <w:bottom w:val="nil"/>
              <w:right w:val="nil"/>
              <w:between w:val="nil"/>
            </w:pBdr>
            <w:tabs>
              <w:tab w:val="center" w:pos="4320"/>
              <w:tab w:val="right" w:pos="8640"/>
            </w:tabs>
            <w:jc w:val="center"/>
            <w:rPr>
              <w:b/>
              <w:bCs/>
              <w:color w:val="333399"/>
              <w:sz w:val="24"/>
              <w:szCs w:val="24"/>
            </w:rPr>
          </w:pPr>
          <w:bookmarkStart w:id="2" w:name="_heading=h.43ng46brjcm" w:colFirst="0" w:colLast="0"/>
          <w:bookmarkEnd w:id="2"/>
          <w:r>
            <w:rPr>
              <w:b/>
              <w:bCs/>
              <w:color w:val="333399"/>
              <w:sz w:val="24"/>
              <w:szCs w:val="24"/>
            </w:rPr>
            <w:t>Мастер академске студије педагогије</w:t>
          </w:r>
        </w:p>
      </w:tc>
      <w:tc>
        <w:tcPr>
          <w:tcW w:w="1668" w:type="dxa"/>
          <w:vMerge/>
          <w:vAlign w:val="center"/>
        </w:tcPr>
        <w:p w:rsidR="00D71C43" w:rsidRDefault="00D71C43">
          <w:pPr>
            <w:pBdr>
              <w:top w:val="nil"/>
              <w:left w:val="nil"/>
              <w:bottom w:val="nil"/>
              <w:right w:val="nil"/>
              <w:between w:val="nil"/>
            </w:pBdr>
            <w:spacing w:line="276" w:lineRule="auto"/>
            <w:rPr>
              <w:b/>
              <w:bCs/>
              <w:color w:val="333399"/>
              <w:sz w:val="24"/>
              <w:szCs w:val="24"/>
            </w:rPr>
          </w:pPr>
        </w:p>
      </w:tc>
    </w:tr>
  </w:tbl>
  <w:p w:rsidR="00D71C43" w:rsidRDefault="00D71C43">
    <w:pPr>
      <w:pBdr>
        <w:top w:val="nil"/>
        <w:left w:val="nil"/>
        <w:bottom w:val="nil"/>
        <w:right w:val="nil"/>
        <w:between w:val="nil"/>
      </w:pBdr>
      <w:tabs>
        <w:tab w:val="center" w:pos="4320"/>
        <w:tab w:val="right" w:pos="8640"/>
      </w:tabs>
      <w:jc w:val="center"/>
      <w:rPr>
        <w:color w:val="000000"/>
        <w:sz w:val="6"/>
        <w:szCs w:val="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C43" w:rsidRDefault="00D71C43">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8776CB"/>
    <w:multiLevelType w:val="multilevel"/>
    <w:tmpl w:val="1AF23E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6EC4B29"/>
    <w:multiLevelType w:val="multilevel"/>
    <w:tmpl w:val="37F081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1C43"/>
    <w:rsid w:val="00223789"/>
    <w:rsid w:val="00422C80"/>
    <w:rsid w:val="005F0425"/>
    <w:rsid w:val="00A67C43"/>
    <w:rsid w:val="00D71C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3B60D49-9A0A-46BD-9892-6581BB272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r-Latn-C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outlineLvl w:val="0"/>
    </w:pPr>
    <w:rPr>
      <w:b/>
      <w:bCs/>
      <w:sz w:val="24"/>
      <w:szCs w:val="24"/>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doi.org/10.22190/FUPES200114030M"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scholar.google.com/citations?user=nsaipXUAAAAJ&amp;hl=en" TargetMode="External"/><Relationship Id="rId4" Type="http://schemas.openxmlformats.org/officeDocument/2006/relationships/settings" Target="settings.xml"/><Relationship Id="rId9" Type="http://schemas.openxmlformats.org/officeDocument/2006/relationships/hyperlink" Target="https://www.researchgate.net/profile/Dragana_Jovanovic6"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Ewxvkcax2Ae5JfF+P8uVA6mXg==">CgMxLjAyDmguZGhpZ3c2ZDFubjZlMg1oLjQzbmc0NmJyamNtOAByITFIc09JUFlrYjdqQl9JZ0s4bTdmMVhHZ2p1YVdwVlVYRQ==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761</Words>
  <Characters>4341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dc:creator>
  <cp:lastModifiedBy>Autor</cp:lastModifiedBy>
  <cp:revision>3</cp:revision>
  <dcterms:created xsi:type="dcterms:W3CDTF">2026-07-07T01:00:00Z</dcterms:created>
  <dcterms:modified xsi:type="dcterms:W3CDTF">2026-07-07T01:28:00Z</dcterms:modified>
</cp:coreProperties>
</file>